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54C2" w14:textId="77777777" w:rsidR="00274F04"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65817423" w14:textId="77777777" w:rsidR="00274F04" w:rsidRDefault="00274F04">
      <w:pPr>
        <w:spacing w:line="540" w:lineRule="exact"/>
        <w:jc w:val="center"/>
        <w:rPr>
          <w:rFonts w:ascii="华文中宋" w:eastAsia="华文中宋" w:hAnsi="华文中宋" w:cs="宋体" w:hint="eastAsia"/>
          <w:b/>
          <w:kern w:val="0"/>
          <w:sz w:val="52"/>
          <w:szCs w:val="52"/>
        </w:rPr>
      </w:pPr>
    </w:p>
    <w:p w14:paraId="32513E81" w14:textId="77777777" w:rsidR="00274F04" w:rsidRDefault="00274F04">
      <w:pPr>
        <w:spacing w:line="540" w:lineRule="exact"/>
        <w:jc w:val="center"/>
        <w:rPr>
          <w:rFonts w:ascii="华文中宋" w:eastAsia="华文中宋" w:hAnsi="华文中宋" w:cs="宋体" w:hint="eastAsia"/>
          <w:b/>
          <w:kern w:val="0"/>
          <w:sz w:val="52"/>
          <w:szCs w:val="52"/>
        </w:rPr>
      </w:pPr>
    </w:p>
    <w:p w14:paraId="71D7A1E5" w14:textId="77777777" w:rsidR="00274F04" w:rsidRDefault="00274F04">
      <w:pPr>
        <w:spacing w:line="540" w:lineRule="exact"/>
        <w:jc w:val="center"/>
        <w:rPr>
          <w:rFonts w:ascii="华文中宋" w:eastAsia="华文中宋" w:hAnsi="华文中宋" w:cs="宋体" w:hint="eastAsia"/>
          <w:b/>
          <w:kern w:val="0"/>
          <w:sz w:val="52"/>
          <w:szCs w:val="52"/>
        </w:rPr>
      </w:pPr>
    </w:p>
    <w:p w14:paraId="786AAF85" w14:textId="77777777" w:rsidR="00274F04" w:rsidRDefault="00274F04">
      <w:pPr>
        <w:spacing w:line="540" w:lineRule="exact"/>
        <w:jc w:val="center"/>
        <w:rPr>
          <w:rFonts w:ascii="华文中宋" w:eastAsia="华文中宋" w:hAnsi="华文中宋" w:cs="宋体" w:hint="eastAsia"/>
          <w:b/>
          <w:kern w:val="0"/>
          <w:sz w:val="52"/>
          <w:szCs w:val="52"/>
        </w:rPr>
      </w:pPr>
    </w:p>
    <w:p w14:paraId="2FDC7FB9" w14:textId="77777777" w:rsidR="00274F04" w:rsidRDefault="00274F04">
      <w:pPr>
        <w:spacing w:line="540" w:lineRule="exact"/>
        <w:jc w:val="center"/>
        <w:rPr>
          <w:rFonts w:ascii="华文中宋" w:eastAsia="华文中宋" w:hAnsi="华文中宋" w:cs="宋体" w:hint="eastAsia"/>
          <w:b/>
          <w:kern w:val="0"/>
          <w:sz w:val="52"/>
          <w:szCs w:val="52"/>
        </w:rPr>
      </w:pPr>
    </w:p>
    <w:p w14:paraId="391CA02B" w14:textId="77777777" w:rsidR="00274F04" w:rsidRDefault="00274F04">
      <w:pPr>
        <w:spacing w:line="540" w:lineRule="exact"/>
        <w:jc w:val="center"/>
        <w:rPr>
          <w:rFonts w:ascii="华文中宋" w:eastAsia="华文中宋" w:hAnsi="华文中宋" w:cs="宋体" w:hint="eastAsia"/>
          <w:b/>
          <w:kern w:val="0"/>
          <w:sz w:val="52"/>
          <w:szCs w:val="52"/>
        </w:rPr>
      </w:pPr>
    </w:p>
    <w:p w14:paraId="1A3961CC" w14:textId="77777777" w:rsidR="00274F04"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26699039" w14:textId="77777777" w:rsidR="00274F04" w:rsidRDefault="00274F04">
      <w:pPr>
        <w:spacing w:line="540" w:lineRule="exact"/>
        <w:jc w:val="center"/>
        <w:rPr>
          <w:rFonts w:ascii="华文中宋" w:eastAsia="华文中宋" w:hAnsi="华文中宋" w:cs="宋体" w:hint="eastAsia"/>
          <w:b/>
          <w:kern w:val="0"/>
          <w:sz w:val="52"/>
          <w:szCs w:val="52"/>
        </w:rPr>
      </w:pPr>
    </w:p>
    <w:p w14:paraId="3ACEAEA1" w14:textId="77777777" w:rsidR="00274F04"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0E1AC0" w14:textId="77777777" w:rsidR="00274F04" w:rsidRDefault="00274F04">
      <w:pPr>
        <w:spacing w:line="540" w:lineRule="exact"/>
        <w:jc w:val="center"/>
        <w:rPr>
          <w:rFonts w:eastAsia="仿宋_GB2312" w:hAnsi="宋体" w:cs="宋体" w:hint="eastAsia"/>
          <w:kern w:val="0"/>
          <w:sz w:val="30"/>
          <w:szCs w:val="30"/>
        </w:rPr>
      </w:pPr>
    </w:p>
    <w:p w14:paraId="0624FD70" w14:textId="77777777" w:rsidR="00274F04" w:rsidRDefault="00274F04">
      <w:pPr>
        <w:spacing w:line="540" w:lineRule="exact"/>
        <w:jc w:val="center"/>
        <w:rPr>
          <w:rFonts w:eastAsia="仿宋_GB2312" w:hAnsi="宋体" w:cs="宋体" w:hint="eastAsia"/>
          <w:kern w:val="0"/>
          <w:sz w:val="30"/>
          <w:szCs w:val="30"/>
        </w:rPr>
      </w:pPr>
    </w:p>
    <w:p w14:paraId="541B6251" w14:textId="77777777" w:rsidR="00274F04" w:rsidRDefault="00274F04">
      <w:pPr>
        <w:spacing w:line="540" w:lineRule="exact"/>
        <w:jc w:val="center"/>
        <w:rPr>
          <w:rFonts w:eastAsia="仿宋_GB2312" w:hAnsi="宋体" w:cs="宋体" w:hint="eastAsia"/>
          <w:kern w:val="0"/>
          <w:sz w:val="30"/>
          <w:szCs w:val="30"/>
        </w:rPr>
      </w:pPr>
    </w:p>
    <w:p w14:paraId="399792D8" w14:textId="77777777" w:rsidR="00274F04" w:rsidRDefault="00274F04">
      <w:pPr>
        <w:spacing w:line="540" w:lineRule="exact"/>
        <w:jc w:val="center"/>
        <w:rPr>
          <w:rFonts w:eastAsia="仿宋_GB2312" w:hAnsi="宋体" w:cs="宋体" w:hint="eastAsia"/>
          <w:kern w:val="0"/>
          <w:sz w:val="30"/>
          <w:szCs w:val="30"/>
        </w:rPr>
      </w:pPr>
    </w:p>
    <w:p w14:paraId="06E94502" w14:textId="77777777" w:rsidR="00274F04" w:rsidRDefault="00274F04">
      <w:pPr>
        <w:spacing w:line="540" w:lineRule="exact"/>
        <w:jc w:val="center"/>
        <w:rPr>
          <w:rFonts w:eastAsia="仿宋_GB2312" w:hAnsi="宋体" w:cs="宋体" w:hint="eastAsia"/>
          <w:kern w:val="0"/>
          <w:sz w:val="30"/>
          <w:szCs w:val="30"/>
        </w:rPr>
      </w:pPr>
    </w:p>
    <w:p w14:paraId="3E091DB7" w14:textId="77777777" w:rsidR="00274F04" w:rsidRDefault="00274F04">
      <w:pPr>
        <w:spacing w:line="540" w:lineRule="exact"/>
        <w:jc w:val="center"/>
        <w:rPr>
          <w:rFonts w:eastAsia="仿宋_GB2312" w:hAnsi="宋体" w:cs="宋体" w:hint="eastAsia"/>
          <w:kern w:val="0"/>
          <w:sz w:val="30"/>
          <w:szCs w:val="30"/>
        </w:rPr>
      </w:pPr>
    </w:p>
    <w:p w14:paraId="7EC5D3F6" w14:textId="77777777" w:rsidR="00274F04" w:rsidRDefault="00274F04">
      <w:pPr>
        <w:spacing w:line="540" w:lineRule="exact"/>
        <w:rPr>
          <w:rFonts w:eastAsia="仿宋_GB2312" w:hAnsi="宋体" w:cs="宋体" w:hint="eastAsia"/>
          <w:kern w:val="0"/>
          <w:sz w:val="30"/>
          <w:szCs w:val="30"/>
        </w:rPr>
      </w:pPr>
    </w:p>
    <w:p w14:paraId="06618672" w14:textId="77777777" w:rsidR="00274F04"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666F837A" w14:textId="77777777" w:rsidR="00274F04"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中央医疗与保障能力提升（医疗机构能力提升）项目</w:t>
      </w:r>
    </w:p>
    <w:p w14:paraId="5F13C4C6" w14:textId="77777777" w:rsidR="00274F04"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木垒哈萨克自治县卫生健康委员会</w:t>
      </w:r>
    </w:p>
    <w:p w14:paraId="1470B786" w14:textId="77777777" w:rsidR="00274F04"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木垒哈萨克自治县卫生健康委员会</w:t>
      </w:r>
    </w:p>
    <w:p w14:paraId="433D501E" w14:textId="77777777" w:rsidR="00274F04"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赵秀玲</w:t>
      </w:r>
    </w:p>
    <w:p w14:paraId="223770D5" w14:textId="77777777" w:rsidR="00274F04"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2025年04月07日</w:t>
      </w:r>
    </w:p>
    <w:p w14:paraId="43F05E5D" w14:textId="77777777" w:rsidR="00274F04" w:rsidRDefault="00274F04">
      <w:pPr>
        <w:spacing w:line="700" w:lineRule="exact"/>
        <w:ind w:firstLineChars="236" w:firstLine="708"/>
        <w:jc w:val="left"/>
        <w:rPr>
          <w:rFonts w:eastAsia="仿宋_GB2312" w:hAnsi="宋体" w:cs="宋体" w:hint="eastAsia"/>
          <w:kern w:val="0"/>
          <w:sz w:val="30"/>
          <w:szCs w:val="30"/>
        </w:rPr>
      </w:pPr>
    </w:p>
    <w:p w14:paraId="7760FE75" w14:textId="77777777" w:rsidR="00274F04" w:rsidRDefault="00274F04">
      <w:pPr>
        <w:spacing w:line="540" w:lineRule="exact"/>
        <w:rPr>
          <w:rStyle w:val="ad"/>
          <w:rFonts w:ascii="黑体" w:eastAsia="黑体" w:hAnsi="黑体" w:hint="eastAsia"/>
          <w:b w:val="0"/>
          <w:spacing w:val="-4"/>
          <w:sz w:val="32"/>
          <w:szCs w:val="32"/>
        </w:rPr>
      </w:pPr>
    </w:p>
    <w:p w14:paraId="5F0EC530" w14:textId="77777777" w:rsidR="00274F0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54AFB7D9" w14:textId="77777777" w:rsidR="00274F0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42CF1DF" w14:textId="4F7C367A"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为推动优质医疗资源扩容与区域均衡布局，有序推进县医院、乡（镇）医疗卫生服务能力提升，根据自治区</w:t>
      </w:r>
      <w:proofErr w:type="gramStart"/>
      <w:r>
        <w:rPr>
          <w:rStyle w:val="ad"/>
          <w:rFonts w:ascii="楷体" w:eastAsia="楷体" w:hAnsi="楷体" w:hint="eastAsia"/>
          <w:b w:val="0"/>
          <w:bCs w:val="0"/>
          <w:spacing w:val="-4"/>
          <w:sz w:val="32"/>
          <w:szCs w:val="32"/>
        </w:rPr>
        <w:t>卫健委《关于印发2024年县域医疗机构能力建设、国家临床重点专科建设项目、高海拔地医疗服务能力建设等3个项目实施方案的通知》</w:t>
      </w:r>
      <w:proofErr w:type="gramEnd"/>
      <w:r>
        <w:rPr>
          <w:rStyle w:val="ad"/>
          <w:rFonts w:ascii="楷体" w:eastAsia="楷体" w:hAnsi="楷体" w:hint="eastAsia"/>
          <w:b w:val="0"/>
          <w:bCs w:val="0"/>
          <w:spacing w:val="-4"/>
          <w:sz w:val="32"/>
          <w:szCs w:val="32"/>
        </w:rPr>
        <w:t>、《关于提前下达2024年中央医疗服务与保障能力提升（医疗卫生机构能力建设）补助资金的通知》（昌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{2023}68号）要求，为保障相关工作顺利开展，结合我县实际制定项目实施方案。</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根据昌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关于提前下达2024年中央医疗服务与保障能力提升（医疗卫生机构能力建设）补助资金的通知》文件批复，下达项目资金200万元，投入补助资金120万元主要用于购置木垒县人民医院手术设备及手术器械配置。投入补助资金60万元改造木垒县新户镇卫生院基础设施及设备购置，满足卫生院的实际需求提高医疗服务水平和质量，达到“优质服务基层行”推荐标准。投入补助资金20万元，用于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共体11家分院医疗首付电子票据系统建设，打通患者就医挂号、就诊、交费、票据交付全封闭电子化管理。</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该项目由</w:t>
      </w:r>
      <w:proofErr w:type="gramStart"/>
      <w:r>
        <w:rPr>
          <w:rStyle w:val="ad"/>
          <w:rFonts w:ascii="楷体" w:eastAsia="楷体" w:hAnsi="楷体" w:hint="eastAsia"/>
          <w:b w:val="0"/>
          <w:bCs w:val="0"/>
          <w:spacing w:val="-4"/>
          <w:sz w:val="32"/>
          <w:szCs w:val="32"/>
        </w:rPr>
        <w:t>卫健委主要</w:t>
      </w:r>
      <w:proofErr w:type="gramEnd"/>
      <w:r>
        <w:rPr>
          <w:rStyle w:val="ad"/>
          <w:rFonts w:ascii="楷体" w:eastAsia="楷体" w:hAnsi="楷体" w:hint="eastAsia"/>
          <w:b w:val="0"/>
          <w:bCs w:val="0"/>
          <w:spacing w:val="-4"/>
          <w:sz w:val="32"/>
          <w:szCs w:val="32"/>
        </w:rPr>
        <w:t>领导为第一责任人，负责项目的组织管理和</w:t>
      </w:r>
      <w:r>
        <w:rPr>
          <w:rStyle w:val="ad"/>
          <w:rFonts w:ascii="楷体" w:eastAsia="楷体" w:hAnsi="楷体" w:hint="eastAsia"/>
          <w:b w:val="0"/>
          <w:bCs w:val="0"/>
          <w:spacing w:val="-4"/>
          <w:sz w:val="32"/>
          <w:szCs w:val="32"/>
        </w:rPr>
        <w:lastRenderedPageBreak/>
        <w:t>具体实施工作，要根据实际医疗服务需求，统筹安排经费，优化实施工作，提高资金使用效率，保障项目顺利实施。</w:t>
      </w:r>
      <w:proofErr w:type="gramStart"/>
      <w:r>
        <w:rPr>
          <w:rStyle w:val="ad"/>
          <w:rFonts w:ascii="楷体" w:eastAsia="楷体" w:hAnsi="楷体" w:hint="eastAsia"/>
          <w:b w:val="0"/>
          <w:bCs w:val="0"/>
          <w:spacing w:val="-4"/>
          <w:sz w:val="32"/>
          <w:szCs w:val="32"/>
        </w:rPr>
        <w:t>卫健委要</w:t>
      </w:r>
      <w:proofErr w:type="gramEnd"/>
      <w:r>
        <w:rPr>
          <w:rStyle w:val="ad"/>
          <w:rFonts w:ascii="楷体" w:eastAsia="楷体" w:hAnsi="楷体" w:hint="eastAsia"/>
          <w:b w:val="0"/>
          <w:bCs w:val="0"/>
          <w:spacing w:val="-4"/>
          <w:sz w:val="32"/>
          <w:szCs w:val="32"/>
        </w:rPr>
        <w:t>按照相关法律、法规和财务规章制度的要求，加强项目资金管理，做到专款专用。根据项目建设要求2月底前完成项目具体执行方案和绩效目标制定，3-9月完成专科建设、设备采购、基层医疗机构能力建设等各项工作，10月30日前对项目完成情况进行评估验收。</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2024年中央医疗服务与保障能力提升（医疗卫生机构能力建设）补助资金项目资金于2024年1月22日</w:t>
      </w:r>
      <w:r w:rsidR="00387A76">
        <w:rPr>
          <w:rStyle w:val="ad"/>
          <w:rFonts w:ascii="楷体" w:eastAsia="楷体" w:hAnsi="楷体" w:hint="eastAsia"/>
          <w:b w:val="0"/>
          <w:bCs w:val="0"/>
          <w:spacing w:val="-4"/>
          <w:sz w:val="32"/>
          <w:szCs w:val="32"/>
        </w:rPr>
        <w:t>新疆维吾尔自治区</w:t>
      </w:r>
      <w:r>
        <w:rPr>
          <w:rStyle w:val="ad"/>
          <w:rFonts w:ascii="楷体" w:eastAsia="楷体" w:hAnsi="楷体" w:hint="eastAsia"/>
          <w:b w:val="0"/>
          <w:bCs w:val="0"/>
          <w:spacing w:val="-4"/>
          <w:sz w:val="32"/>
          <w:szCs w:val="32"/>
        </w:rPr>
        <w:t>/木垒县县财政局下发的昌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文件安排资金为200万元，为上级财政资金，实际到位200万元，资金到位率100%，实际执行200万元，执行率100%，资金落实到位。资金主要用于（专科建设、设备采购、基层医疗机构能力建设等各项工作。为确保项目资金的安全有效使用、安全运行，提高资金的使用效率，我单位严格按照木垒县卫生健康委员会财务会计内部控制制度执行，资金由财政大平台统一拨付，由财政监管，严禁随意调整预算，改变支出用途，做到专款专用，严禁截留、挪用、挤占项目资金等违规违纪问题的发生。</w:t>
      </w:r>
    </w:p>
    <w:p w14:paraId="7B47E361" w14:textId="77777777" w:rsidR="00274F0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FEB0BAF"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（二）项目绩效目标</w:t>
      </w:r>
      <w:r>
        <w:rPr>
          <w:rStyle w:val="ad"/>
          <w:rFonts w:ascii="楷体" w:eastAsia="楷体" w:hAnsi="楷体" w:hint="eastAsia"/>
          <w:b w:val="0"/>
          <w:bCs w:val="0"/>
          <w:spacing w:val="-4"/>
          <w:sz w:val="32"/>
          <w:szCs w:val="32"/>
        </w:rPr>
        <w:br/>
        <w:t>1.总体目标</w:t>
      </w:r>
      <w:r>
        <w:rPr>
          <w:rStyle w:val="ad"/>
          <w:rFonts w:ascii="楷体" w:eastAsia="楷体" w:hAnsi="楷体" w:hint="eastAsia"/>
          <w:b w:val="0"/>
          <w:bCs w:val="0"/>
          <w:spacing w:val="-4"/>
          <w:sz w:val="32"/>
          <w:szCs w:val="32"/>
        </w:rPr>
        <w:br/>
        <w:t>依据昌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【2023】68号2024年中央医疗与保障能力提升（医疗卫生机构能力建设）补助资金文件精神，依据“十四五”时期临床专科建设要求，进一步加强医疗卫生机构能力建设，补齐专</w:t>
      </w:r>
      <w:r>
        <w:rPr>
          <w:rStyle w:val="ad"/>
          <w:rFonts w:ascii="楷体" w:eastAsia="楷体" w:hAnsi="楷体" w:hint="eastAsia"/>
          <w:b w:val="0"/>
          <w:bCs w:val="0"/>
          <w:spacing w:val="-4"/>
          <w:sz w:val="32"/>
          <w:szCs w:val="32"/>
        </w:rPr>
        <w:lastRenderedPageBreak/>
        <w:t>科能力建设短板，建设重点专科，配备基本设备，对现有业务用房机型装修改造，优化资源配置，提高诊疗水平，达到“优质基层行”推荐标准。主要内容为：新户镇卫生院服务能力提升工程，对院内基础设施进行建设和改造；为县人民医院骨科购置手术设备器械；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收费电子票据系统建设。</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该项目由</w:t>
      </w:r>
      <w:proofErr w:type="gramStart"/>
      <w:r>
        <w:rPr>
          <w:rStyle w:val="ad"/>
          <w:rFonts w:ascii="楷体" w:eastAsia="楷体" w:hAnsi="楷体" w:hint="eastAsia"/>
          <w:b w:val="0"/>
          <w:bCs w:val="0"/>
          <w:spacing w:val="-4"/>
          <w:sz w:val="32"/>
          <w:szCs w:val="32"/>
        </w:rPr>
        <w:t>卫健委主要</w:t>
      </w:r>
      <w:proofErr w:type="gramEnd"/>
      <w:r>
        <w:rPr>
          <w:rStyle w:val="ad"/>
          <w:rFonts w:ascii="楷体" w:eastAsia="楷体" w:hAnsi="楷体" w:hint="eastAsia"/>
          <w:b w:val="0"/>
          <w:bCs w:val="0"/>
          <w:spacing w:val="-4"/>
          <w:sz w:val="32"/>
          <w:szCs w:val="32"/>
        </w:rPr>
        <w:t>领导为第一责任人，负责项目的组织管理和具体实施工作，要根据实际医疗服务需求，统筹安排经费，优化实施工作，提高资金使用效率，保障项目顺利实施。</w:t>
      </w:r>
      <w:r>
        <w:rPr>
          <w:rStyle w:val="ad"/>
          <w:rFonts w:ascii="楷体" w:eastAsia="楷体" w:hAnsi="楷体" w:hint="eastAsia"/>
          <w:b w:val="0"/>
          <w:bCs w:val="0"/>
          <w:spacing w:val="-4"/>
          <w:sz w:val="32"/>
          <w:szCs w:val="32"/>
        </w:rPr>
        <w:br/>
        <w:t>2.1 2024年9月30日前完成专科建设、设备采购、基层医疗机构能力建设等各项工作，</w:t>
      </w:r>
      <w:proofErr w:type="gramStart"/>
      <w:r>
        <w:rPr>
          <w:rStyle w:val="ad"/>
          <w:rFonts w:ascii="楷体" w:eastAsia="楷体" w:hAnsi="楷体" w:hint="eastAsia"/>
          <w:b w:val="0"/>
          <w:bCs w:val="0"/>
          <w:spacing w:val="-4"/>
          <w:sz w:val="32"/>
          <w:szCs w:val="32"/>
        </w:rPr>
        <w:t>购置县</w:t>
      </w:r>
      <w:proofErr w:type="gramEnd"/>
      <w:r>
        <w:rPr>
          <w:rStyle w:val="ad"/>
          <w:rFonts w:ascii="楷体" w:eastAsia="楷体" w:hAnsi="楷体" w:hint="eastAsia"/>
          <w:b w:val="0"/>
          <w:bCs w:val="0"/>
          <w:spacing w:val="-4"/>
          <w:sz w:val="32"/>
          <w:szCs w:val="32"/>
        </w:rPr>
        <w:t>医院骨科专用关节内窥镜和椎间孔镜、骨科内窥镜系统等设备，开展骨科微创内窥镜新技术、关节镜和椎间孔镜手术诊疗；完成新户卫生院室内建筑工程包含实验室改造、DR室改造、室外环境改造及室内灯具、洗脸盆、配管、培训安装工程；11个乡镇卫生院电子票据系统、电子票据开票系统安装。</w:t>
      </w:r>
      <w:r>
        <w:rPr>
          <w:rStyle w:val="ad"/>
          <w:rFonts w:ascii="楷体" w:eastAsia="楷体" w:hAnsi="楷体" w:hint="eastAsia"/>
          <w:b w:val="0"/>
          <w:bCs w:val="0"/>
          <w:spacing w:val="-4"/>
          <w:sz w:val="32"/>
          <w:szCs w:val="32"/>
        </w:rPr>
        <w:br/>
        <w:t>2.2 2024年10月31日前完成项目完成情况进行评估验收；</w:t>
      </w:r>
    </w:p>
    <w:p w14:paraId="472BED66" w14:textId="77777777" w:rsidR="00274F0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B3F3E10" w14:textId="77777777" w:rsidR="00274F04"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443CEE1D"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w:t>
      </w:r>
      <w:r>
        <w:rPr>
          <w:rStyle w:val="ad"/>
          <w:rFonts w:ascii="楷体" w:eastAsia="楷体" w:hAnsi="楷体" w:hint="eastAsia"/>
          <w:b w:val="0"/>
          <w:bCs w:val="0"/>
          <w:spacing w:val="-4"/>
          <w:sz w:val="32"/>
          <w:szCs w:val="32"/>
        </w:rPr>
        <w:lastRenderedPageBreak/>
        <w:t>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上级财政下拨的2024年中央医疗与保障能力提升（医疗卫生机构能力建设）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中央医疗与保障能力提升（医疗卫生机构能力建设）补助资金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2024年中央医疗与保障能力提升（医疗卫生机构能力建设）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w:t>
      </w:r>
      <w:r>
        <w:rPr>
          <w:rStyle w:val="ad"/>
          <w:rFonts w:ascii="楷体" w:eastAsia="楷体" w:hAnsi="楷体" w:hint="eastAsia"/>
          <w:b w:val="0"/>
          <w:bCs w:val="0"/>
          <w:spacing w:val="-4"/>
          <w:sz w:val="32"/>
          <w:szCs w:val="32"/>
        </w:rPr>
        <w:lastRenderedPageBreak/>
        <w:t>目产出数量、产出质量、产出时效和产出成本）、项目效益四个维度来评价。</w:t>
      </w:r>
      <w:r>
        <w:rPr>
          <w:rStyle w:val="ad"/>
          <w:rFonts w:ascii="楷体" w:eastAsia="楷体" w:hAnsi="楷体" w:hint="eastAsia"/>
          <w:b w:val="0"/>
          <w:bCs w:val="0"/>
          <w:spacing w:val="-4"/>
          <w:sz w:val="32"/>
          <w:szCs w:val="32"/>
        </w:rPr>
        <w:br/>
        <w:t>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r>
        <w:rPr>
          <w:rStyle w:val="ad"/>
          <w:rFonts w:ascii="楷体" w:eastAsia="楷体" w:hAnsi="楷体" w:hint="eastAsia"/>
          <w:b w:val="0"/>
          <w:bCs w:val="0"/>
          <w:spacing w:val="-4"/>
          <w:sz w:val="32"/>
          <w:szCs w:val="32"/>
        </w:rPr>
        <w:br/>
        <w:t>（5）自治区</w:t>
      </w:r>
      <w:proofErr w:type="gramStart"/>
      <w:r>
        <w:rPr>
          <w:rStyle w:val="ad"/>
          <w:rFonts w:ascii="楷体" w:eastAsia="楷体" w:hAnsi="楷体" w:hint="eastAsia"/>
          <w:b w:val="0"/>
          <w:bCs w:val="0"/>
          <w:spacing w:val="-4"/>
          <w:sz w:val="32"/>
          <w:szCs w:val="32"/>
        </w:rPr>
        <w:t>卫健委《关于印发2024年县域医疗机构能力建设、国家临床重点专科建设项目、高海拔地医疗服务能力建设等3个项目实施方案的通知》</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t>（6）《关于提前下达2024年中央医疗服务与保障能力提升（医疗卫生机构能力建设）补助资金的通知》（昌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w:t>
      </w:r>
    </w:p>
    <w:p w14:paraId="7087A393" w14:textId="77777777" w:rsidR="00274F0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E9B44D3"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（二）绩效评价原则、评价指标体系、评价方法、评价标准等</w:t>
      </w:r>
      <w:r>
        <w:rPr>
          <w:rStyle w:val="ad"/>
          <w:rFonts w:ascii="楷体" w:eastAsia="楷体" w:hAnsi="楷体" w:hint="eastAsia"/>
          <w:b w:val="0"/>
          <w:bCs w:val="0"/>
          <w:spacing w:val="-4"/>
          <w:sz w:val="32"/>
          <w:szCs w:val="32"/>
        </w:rPr>
        <w:b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w:t>
      </w:r>
      <w:r>
        <w:rPr>
          <w:rStyle w:val="ad"/>
          <w:rFonts w:ascii="楷体" w:eastAsia="楷体" w:hAnsi="楷体" w:hint="eastAsia"/>
          <w:b w:val="0"/>
          <w:bCs w:val="0"/>
          <w:spacing w:val="-4"/>
          <w:sz w:val="32"/>
          <w:szCs w:val="32"/>
        </w:rPr>
        <w:lastRenderedPageBreak/>
        <w:t>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立项、绩效目标、资金投入3个二级指标；过程下设资金管理和组织实施2个二级指标。个性指标</w:t>
      </w:r>
      <w:r>
        <w:rPr>
          <w:rStyle w:val="ad"/>
          <w:rFonts w:ascii="楷体" w:eastAsia="楷体" w:hAnsi="楷体" w:hint="eastAsia"/>
          <w:b w:val="0"/>
          <w:bCs w:val="0"/>
          <w:spacing w:val="-4"/>
          <w:sz w:val="32"/>
          <w:szCs w:val="32"/>
        </w:rPr>
        <w:lastRenderedPageBreak/>
        <w:t>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5AC2765" w14:textId="77777777" w:rsidR="00274F04"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7870383C"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（三）绩效评价工作过程</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1.前期准备</w:t>
      </w:r>
      <w:r>
        <w:rPr>
          <w:rStyle w:val="ad"/>
          <w:rFonts w:ascii="楷体" w:eastAsia="楷体" w:hAnsi="楷体" w:hint="eastAsia"/>
          <w:b w:val="0"/>
          <w:bCs w:val="0"/>
          <w:spacing w:val="-4"/>
          <w:sz w:val="32"/>
          <w:szCs w:val="32"/>
        </w:rPr>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赵秀玲为评价小组组长，主要负责工作安排，对项目策划和监督，全面负责项目绩效评价报告的最终质量，对评估人员出具的最终报告质量进行复核，确保评估结果的客观性；</w:t>
      </w:r>
      <w:r>
        <w:rPr>
          <w:rStyle w:val="ad"/>
          <w:rFonts w:ascii="楷体" w:eastAsia="楷体" w:hAnsi="楷体" w:hint="eastAsia"/>
          <w:b w:val="0"/>
          <w:bCs w:val="0"/>
          <w:spacing w:val="-4"/>
          <w:sz w:val="32"/>
          <w:szCs w:val="32"/>
        </w:rPr>
        <w:br/>
        <w:t>张恬为副组长，主要负责报告的审核、指导；</w:t>
      </w:r>
      <w:r>
        <w:rPr>
          <w:rStyle w:val="ad"/>
          <w:rFonts w:ascii="楷体" w:eastAsia="楷体" w:hAnsi="楷体" w:hint="eastAsia"/>
          <w:b w:val="0"/>
          <w:bCs w:val="0"/>
          <w:spacing w:val="-4"/>
          <w:sz w:val="32"/>
          <w:szCs w:val="32"/>
        </w:rPr>
        <w:br/>
        <w:t>杨永杰、石小琴、郑伟杰、马文君为组员，负责资料、数据整理，编制报告。</w:t>
      </w:r>
      <w:r>
        <w:rPr>
          <w:rStyle w:val="ad"/>
          <w:rFonts w:ascii="楷体" w:eastAsia="楷体" w:hAnsi="楷体" w:hint="eastAsia"/>
          <w:b w:val="0"/>
          <w:bCs w:val="0"/>
          <w:spacing w:val="-4"/>
          <w:sz w:val="32"/>
          <w:szCs w:val="32"/>
        </w:rPr>
        <w:br/>
        <w:t>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1.22025年3月2日，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1.32025年3月3日，评价小组根据项目的实施内容和特征制定了评价指标体系及评价标准以及评价实施方案，修正并确定所需资料清单，最终确定绩效评价工作方案；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w:t>
      </w:r>
      <w:r>
        <w:rPr>
          <w:rStyle w:val="ad"/>
          <w:rFonts w:ascii="楷体" w:eastAsia="楷体" w:hAnsi="楷体" w:hint="eastAsia"/>
          <w:b w:val="0"/>
          <w:bCs w:val="0"/>
          <w:spacing w:val="-4"/>
          <w:sz w:val="32"/>
          <w:szCs w:val="32"/>
        </w:rPr>
        <w:lastRenderedPageBreak/>
        <w:t>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042A613E" w14:textId="77777777" w:rsidR="00274F0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68E13C59"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专科建设、设备采购、基层医疗机构能力建设等各项工作，通过项目建设，全面改善县医院、新户镇卫生院硬件条件，提升医疗服务水平。构建县域医疗资源共享平台，实现优质医疗资源下沉，强化县域医疗机构的就诊、急救能力，提高应对突发公共卫生事件的能力。</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过程管理类指标共设置5个，满分指标5个，得分率100%；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p>
    <w:p w14:paraId="23D4FE59" w14:textId="77777777" w:rsidR="00274F04"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3D2E51E8" w14:textId="77777777" w:rsidR="00274F04"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35090640" w14:textId="77777777" w:rsidR="00274F04"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项目决策类指标由3个二级指标和3个三级指标构成，权重分15分，实际得分15分。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（1）《自治区财政支出绩效评价管理暂行办法》（新财预〔2018〕189号）；</w:t>
      </w:r>
      <w:r>
        <w:rPr>
          <w:rStyle w:val="ad"/>
          <w:rFonts w:ascii="楷体" w:eastAsia="楷体" w:hAnsi="楷体" w:hint="eastAsia"/>
          <w:b w:val="0"/>
          <w:bCs w:val="0"/>
          <w:spacing w:val="-4"/>
          <w:sz w:val="32"/>
          <w:szCs w:val="32"/>
        </w:rPr>
        <w:br/>
        <w:t>（2）自治区</w:t>
      </w:r>
      <w:proofErr w:type="gramStart"/>
      <w:r>
        <w:rPr>
          <w:rStyle w:val="ad"/>
          <w:rFonts w:ascii="楷体" w:eastAsia="楷体" w:hAnsi="楷体" w:hint="eastAsia"/>
          <w:b w:val="0"/>
          <w:bCs w:val="0"/>
          <w:spacing w:val="-4"/>
          <w:sz w:val="32"/>
          <w:szCs w:val="32"/>
        </w:rPr>
        <w:t>卫健委《关于印发2024年县域医疗机构能力建设、国家临床重点专科建设项目、高海拔地医疗服务能力建设等3个项目实施方案的通知》</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t>（3）《关于提前下达2024年中央医疗服务与保障能力提升（医疗卫生机构能力建设）补助资金的通知》（昌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w:t>
      </w:r>
      <w:r>
        <w:rPr>
          <w:rStyle w:val="ad"/>
          <w:rFonts w:ascii="楷体" w:eastAsia="楷体" w:hAnsi="楷体" w:hint="eastAsia"/>
          <w:b w:val="0"/>
          <w:bCs w:val="0"/>
          <w:spacing w:val="-4"/>
          <w:sz w:val="32"/>
          <w:szCs w:val="32"/>
        </w:rPr>
        <w:lastRenderedPageBreak/>
        <w:t>程序的相关规定进行；</w:t>
      </w:r>
      <w:r>
        <w:rPr>
          <w:rStyle w:val="ad"/>
          <w:rFonts w:ascii="楷体" w:eastAsia="楷体" w:hAnsi="楷体" w:hint="eastAsia"/>
          <w:b w:val="0"/>
          <w:bCs w:val="0"/>
          <w:spacing w:val="-4"/>
          <w:sz w:val="32"/>
          <w:szCs w:val="32"/>
        </w:rPr>
        <w:br/>
        <w:t>②审批文件、材料：本项目审批文件有：《关于提前下达2024年中央医疗服务与保障能力提升（医疗卫生机构能力建设）补助资金的通知》（昌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{2023}68号），审批文件及材料齐全，审批文件及材料齐全；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2024年中央医疗服务与保障能力提升（医疗卫生机构能力建设）补助项目已设立项目绩效目标，具体内容为</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依据昌州财社【2023】68号2024年中央医疗与保障能力提升（医疗卫生机构能力建设）补助资金文件精神，依据“十四五”时期临床专科建设要求，进一步加强医疗卫生机构能力建设，补齐专科能力建设短板，建设重点专科，配备基本设备，对现有业务用房机型装修改造，优化资源配置，提高诊疗水平，达到“优质基层行”推荐标准。主要内容为：新户镇卫生院服务能力提升工程，对院内基础设施进行建设和改造；为县人民医院骨科购置手术设备器械；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收费电子票据系统建设。</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与专科建设、设备采购、基层医疗机构能力建设具有相关性，绩效目标与实际工作内容一致，本项目按照绩效目标完成了数量指标、质量指标、时效指标、成本指标，有效保障了改善县医院、新户镇卫生院硬件条件，提升医疗服务水平。构建县域医疗资源共享平台，实现优质医疗资源下沉，强化县域医疗机构的就诊、急救能力，提高应对突发公共卫</w:t>
      </w:r>
      <w:r>
        <w:rPr>
          <w:rStyle w:val="ad"/>
          <w:rFonts w:ascii="楷体" w:eastAsia="楷体" w:hAnsi="楷体" w:hint="eastAsia"/>
          <w:b w:val="0"/>
          <w:bCs w:val="0"/>
          <w:spacing w:val="-4"/>
          <w:sz w:val="32"/>
          <w:szCs w:val="32"/>
        </w:rPr>
        <w:lastRenderedPageBreak/>
        <w:t>生事件的能力，项目的预期产出效益和效果也均能符合正常的业绩水平，并且与预算确定的项目投资额或资金量相匹配。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综上所述，本指标满分为3分，根据评分标准得3分，本项目绩效目标设置合理。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2024年中央医疗服务与保障能力提升（医疗卫生机构能力建设）补助项目将项目绩效目标细化分解为具体的绩效指标，一级指标共4条，二级指标共5条，三级指标共11条，其中定量指标数量共10条，指标量化率90%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 xml:space="preserve"> 本项目预算编制参照《关于提前下达2024年中央医疗服务与保障能力提升（医疗卫生机构能力建设）补助资金的通知》（昌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{2023}68号）得出，项目预算编制根据项目内容进行计算，预算</w:t>
      </w:r>
      <w:proofErr w:type="gramStart"/>
      <w:r>
        <w:rPr>
          <w:rStyle w:val="ad"/>
          <w:rFonts w:ascii="楷体" w:eastAsia="楷体" w:hAnsi="楷体" w:hint="eastAsia"/>
          <w:b w:val="0"/>
          <w:bCs w:val="0"/>
          <w:spacing w:val="-4"/>
          <w:sz w:val="32"/>
          <w:szCs w:val="32"/>
        </w:rPr>
        <w:t>数经过卫健委</w:t>
      </w:r>
      <w:proofErr w:type="gramEnd"/>
      <w:r>
        <w:rPr>
          <w:rStyle w:val="ad"/>
          <w:rFonts w:ascii="楷体" w:eastAsia="楷体" w:hAnsi="楷体" w:hint="eastAsia"/>
          <w:b w:val="0"/>
          <w:bCs w:val="0"/>
          <w:spacing w:val="-4"/>
          <w:sz w:val="32"/>
          <w:szCs w:val="32"/>
        </w:rPr>
        <w:t>党组会议确定，预算内容与项目内容无偏差，预算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 xml:space="preserve">科学。本项目预算额度测算依据充分，参照标准编制，预算确定资金量与实际工作任务相匹配。 </w:t>
      </w:r>
      <w:r>
        <w:rPr>
          <w:rStyle w:val="ad"/>
          <w:rFonts w:ascii="楷体" w:eastAsia="楷体" w:hAnsi="楷体" w:hint="eastAsia"/>
          <w:b w:val="0"/>
          <w:bCs w:val="0"/>
          <w:spacing w:val="-4"/>
          <w:sz w:val="32"/>
          <w:szCs w:val="32"/>
        </w:rPr>
        <w:br/>
        <w:t>综上所述，本指标满分为4.00分，根据评分标准4.00分，本项目预算编制科学。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项目预算资金分配以《关于提前下达2024年中央医疗服务与保障能力提升（医疗卫生机构能力建设）补助资金的通知》（昌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w:t>
      </w:r>
      <w:r>
        <w:rPr>
          <w:rStyle w:val="ad"/>
          <w:rFonts w:ascii="楷体" w:eastAsia="楷体" w:hAnsi="楷体" w:hint="eastAsia"/>
          <w:b w:val="0"/>
          <w:bCs w:val="0"/>
          <w:spacing w:val="-4"/>
          <w:sz w:val="32"/>
          <w:szCs w:val="32"/>
        </w:rPr>
        <w:lastRenderedPageBreak/>
        <w:t>财社</w:t>
      </w:r>
      <w:proofErr w:type="gramEnd"/>
      <w:r>
        <w:rPr>
          <w:rStyle w:val="ad"/>
          <w:rFonts w:ascii="楷体" w:eastAsia="楷体" w:hAnsi="楷体" w:hint="eastAsia"/>
          <w:b w:val="0"/>
          <w:bCs w:val="0"/>
          <w:spacing w:val="-4"/>
          <w:sz w:val="32"/>
          <w:szCs w:val="32"/>
        </w:rPr>
        <w:t>{2023}68号）为依据进行资金分配，预算资金分配依据充分。项目资金分配额度无偏低或偏高情况，分配额度合理。根据《关于提前下达2024年中央医疗服务与保障能力提升（医疗卫生机构能力建设）补助资金的通知》（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{2023}68号）文件显示，本项目实际到位资金200万元，实际分配资金与我单位提交申请的资金额度一致，资金分配额度合理，与我单位实际需求相适应。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36419E57" w14:textId="77777777" w:rsidR="00274F04"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0E644853"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本项目预算资金为200万元，其中：自治区财政安排资金200万元，其他资金0万元，实际到位资金200万元，资金到位率=（实际到位资金/预算资金）×100.00%=（200/200）*100.00%=100%。得分=资金到位率*分值=100.00%*3=3.00分。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本项目年初预算数200万元，全年预算数200万元，全年执行数200万元，预算执行率=（实际支出资金/实际到位资金）×100.00%=（200/200）*100.00%=100%。得分=预算执行率*分值=100%*5=5分。</w:t>
      </w:r>
      <w:r>
        <w:rPr>
          <w:rStyle w:val="ad"/>
          <w:rFonts w:ascii="楷体" w:eastAsia="楷体" w:hAnsi="楷体" w:hint="eastAsia"/>
          <w:b w:val="0"/>
          <w:bCs w:val="0"/>
          <w:spacing w:val="-4"/>
          <w:sz w:val="32"/>
          <w:szCs w:val="32"/>
        </w:rPr>
        <w:br/>
        <w:t>综上所述，本指标满分为5.00分，根据评分标准得5分，本项目预算按计划执行。</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 本项目资金使用符合、财务管理制度以及有关专项资金管理办法的规定；</w:t>
      </w:r>
      <w:r>
        <w:rPr>
          <w:rStyle w:val="ad"/>
          <w:rFonts w:ascii="楷体" w:eastAsia="楷体" w:hAnsi="楷体" w:hint="eastAsia"/>
          <w:b w:val="0"/>
          <w:bCs w:val="0"/>
          <w:spacing w:val="-4"/>
          <w:sz w:val="32"/>
          <w:szCs w:val="32"/>
        </w:rPr>
        <w:br/>
        <w:t>3.2 资金的拨付严格按照木垒县卫生健康委员会单位资金拨付审批程序进行：由财务科室提交院办申请到院长领导，经审批后提交到分管领导。项目资金拨付手续齐全，资金拨付手续有：资金申请单、文件、分配表。</w:t>
      </w:r>
      <w:r>
        <w:rPr>
          <w:rStyle w:val="ad"/>
          <w:rFonts w:ascii="楷体" w:eastAsia="楷体" w:hAnsi="楷体" w:hint="eastAsia"/>
          <w:b w:val="0"/>
          <w:bCs w:val="0"/>
          <w:spacing w:val="-4"/>
          <w:sz w:val="32"/>
          <w:szCs w:val="32"/>
        </w:rPr>
        <w:br/>
        <w:t>3.3 本项目资金合同规定的用途为：本项目资金合同规定符合项目预算批复及合同规定的用途；</w:t>
      </w:r>
      <w:r>
        <w:rPr>
          <w:rStyle w:val="ad"/>
          <w:rFonts w:ascii="楷体" w:eastAsia="楷体" w:hAnsi="楷体" w:hint="eastAsia"/>
          <w:b w:val="0"/>
          <w:bCs w:val="0"/>
          <w:spacing w:val="-4"/>
          <w:sz w:val="32"/>
          <w:szCs w:val="32"/>
        </w:rPr>
        <w:br/>
        <w:t>3.4 项目资金截至2024年12月31日已拨付至100%，过程不存在截留、挤占、挪用、虚列支出等情况。</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 本项目已制定《木垒县医疗事业单位资金项目财务管理制度》、管理制度健全；；</w:t>
      </w:r>
      <w:r>
        <w:rPr>
          <w:rStyle w:val="ad"/>
          <w:rFonts w:ascii="楷体" w:eastAsia="楷体" w:hAnsi="楷体" w:hint="eastAsia"/>
          <w:b w:val="0"/>
          <w:bCs w:val="0"/>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br/>
        <w:t>综上所述，本指标满分为3分，根据评分标准得3分，项目制度建设健全。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w:t>
      </w:r>
      <w:r>
        <w:rPr>
          <w:rStyle w:val="ad"/>
          <w:rFonts w:ascii="楷体" w:eastAsia="楷体" w:hAnsi="楷体" w:hint="eastAsia"/>
          <w:b w:val="0"/>
          <w:bCs w:val="0"/>
          <w:spacing w:val="-4"/>
          <w:sz w:val="32"/>
          <w:szCs w:val="32"/>
        </w:rPr>
        <w:lastRenderedPageBreak/>
        <w:t>项目资金支出严格按照自治区以及本单位资金管理办法执行；其中：</w:t>
      </w:r>
      <w:r>
        <w:rPr>
          <w:rStyle w:val="ad"/>
          <w:rFonts w:ascii="楷体" w:eastAsia="楷体" w:hAnsi="楷体" w:hint="eastAsia"/>
          <w:b w:val="0"/>
          <w:bCs w:val="0"/>
          <w:spacing w:val="-4"/>
          <w:sz w:val="32"/>
          <w:szCs w:val="32"/>
        </w:rPr>
        <w:br/>
        <w:t xml:space="preserve"> 5.1 项目的审批、招标、建设、验收过程均遵守相关法律法规和相关管理规定； </w:t>
      </w:r>
      <w:r>
        <w:rPr>
          <w:rStyle w:val="ad"/>
          <w:rFonts w:ascii="楷体" w:eastAsia="楷体" w:hAnsi="楷体" w:hint="eastAsia"/>
          <w:b w:val="0"/>
          <w:bCs w:val="0"/>
          <w:spacing w:val="-4"/>
          <w:sz w:val="32"/>
          <w:szCs w:val="32"/>
        </w:rPr>
        <w:br/>
        <w:t>5.2 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 项目合同书、验收报告、技术鉴定等资料齐全并已及时归档；</w:t>
      </w:r>
      <w:r>
        <w:rPr>
          <w:rStyle w:val="ad"/>
          <w:rFonts w:ascii="楷体" w:eastAsia="楷体" w:hAnsi="楷体" w:hint="eastAsia"/>
          <w:b w:val="0"/>
          <w:bCs w:val="0"/>
          <w:spacing w:val="-4"/>
          <w:sz w:val="32"/>
          <w:szCs w:val="32"/>
        </w:rPr>
        <w:br/>
        <w:t>5.4 项目实施的人员条件、场地设备、信息支撑等均已落实到位。</w:t>
      </w:r>
      <w:r>
        <w:rPr>
          <w:rStyle w:val="ad"/>
          <w:rFonts w:ascii="楷体" w:eastAsia="楷体" w:hAnsi="楷体" w:hint="eastAsia"/>
          <w:b w:val="0"/>
          <w:bCs w:val="0"/>
          <w:spacing w:val="-4"/>
          <w:sz w:val="32"/>
          <w:szCs w:val="32"/>
        </w:rPr>
        <w:br/>
        <w:t>综上所述，本指标满分为2分，根据评分标准得2分，本项目所建立制度执行有效。</w:t>
      </w:r>
    </w:p>
    <w:p w14:paraId="38374E07" w14:textId="77777777" w:rsidR="00274F04"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CB92D06"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我单位2024年中央医疗服务与保障能力提升（医疗卫生机构能力建设）补助项目截止到2024年12月31日，已完成支付新户镇卫生院服务能力提升工程款59.69万元；县人民医院骨科购置手术设备器械项目资金120万元、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收费电子票据系统建设项目资金支付20.31万元，已实施完成。对院内基础设施进行建设和改造；为县人民医院骨科购置手术设备器械；县域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收费电子票据系统建设。通过该项目的实施，提高了医疗服务水平、提高疾病防控能力、提高了医疗保障水平以及提高群众健康意识，促进了医疗资源均衡布局、促进医疗科技创新以及社会和谐稳定。其中：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指标1：新户镇卫生院服务能力提升工程数量，预期指标值：≥1个，实际完成值1个  ，指标完成率100 %；</w:t>
      </w:r>
      <w:r>
        <w:rPr>
          <w:rStyle w:val="ad"/>
          <w:rFonts w:ascii="楷体" w:eastAsia="楷体" w:hAnsi="楷体" w:hint="eastAsia"/>
          <w:b w:val="0"/>
          <w:bCs w:val="0"/>
          <w:spacing w:val="-4"/>
          <w:sz w:val="32"/>
          <w:szCs w:val="32"/>
        </w:rPr>
        <w:br/>
        <w:t>指标2：</w:t>
      </w:r>
      <w:proofErr w:type="gramStart"/>
      <w:r>
        <w:rPr>
          <w:rStyle w:val="ad"/>
          <w:rFonts w:ascii="楷体" w:eastAsia="楷体" w:hAnsi="楷体" w:hint="eastAsia"/>
          <w:b w:val="0"/>
          <w:bCs w:val="0"/>
          <w:spacing w:val="-4"/>
          <w:sz w:val="32"/>
          <w:szCs w:val="32"/>
        </w:rPr>
        <w:t>购置县</w:t>
      </w:r>
      <w:proofErr w:type="gramEnd"/>
      <w:r>
        <w:rPr>
          <w:rStyle w:val="ad"/>
          <w:rFonts w:ascii="楷体" w:eastAsia="楷体" w:hAnsi="楷体" w:hint="eastAsia"/>
          <w:b w:val="0"/>
          <w:bCs w:val="0"/>
          <w:spacing w:val="-4"/>
          <w:sz w:val="32"/>
          <w:szCs w:val="32"/>
        </w:rPr>
        <w:t>人民医院骨科手术设备器械数量，预期指标值：</w:t>
      </w:r>
      <w:r>
        <w:rPr>
          <w:rStyle w:val="ad"/>
          <w:rFonts w:ascii="楷体" w:eastAsia="楷体" w:hAnsi="楷体" w:hint="eastAsia"/>
          <w:b w:val="0"/>
          <w:bCs w:val="0"/>
          <w:spacing w:val="-4"/>
          <w:sz w:val="32"/>
          <w:szCs w:val="32"/>
        </w:rPr>
        <w:lastRenderedPageBreak/>
        <w:t>≥1套，实际完成值1套  ，指标完成率100 %；</w:t>
      </w:r>
      <w:r>
        <w:rPr>
          <w:rStyle w:val="ad"/>
          <w:rFonts w:ascii="楷体" w:eastAsia="楷体" w:hAnsi="楷体" w:hint="eastAsia"/>
          <w:b w:val="0"/>
          <w:bCs w:val="0"/>
          <w:spacing w:val="-4"/>
          <w:sz w:val="32"/>
          <w:szCs w:val="32"/>
        </w:rPr>
        <w:br/>
        <w:t>指标3：建设县域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收费电子票据系统数量，预期指标值：≥1个，实际完成值1个  ，指标完成率100 %</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指标1：项目资金支付率，预期指标值：=100%，实际完成值100%  ，指标完成率100 %；</w:t>
      </w:r>
      <w:r>
        <w:rPr>
          <w:rStyle w:val="ad"/>
          <w:rFonts w:ascii="楷体" w:eastAsia="楷体" w:hAnsi="楷体" w:hint="eastAsia"/>
          <w:b w:val="0"/>
          <w:bCs w:val="0"/>
          <w:spacing w:val="-4"/>
          <w:sz w:val="32"/>
          <w:szCs w:val="32"/>
        </w:rPr>
        <w:br/>
        <w:t>指标2：项目竣工验收合格率，预期指标值：=100%，实际完成值100%  ，指标完成率100 %。</w:t>
      </w:r>
      <w:r>
        <w:rPr>
          <w:rStyle w:val="ad"/>
          <w:rFonts w:ascii="楷体" w:eastAsia="楷体" w:hAnsi="楷体" w:hint="eastAsia"/>
          <w:b w:val="0"/>
          <w:bCs w:val="0"/>
          <w:spacing w:val="-4"/>
          <w:sz w:val="32"/>
          <w:szCs w:val="32"/>
        </w:rPr>
        <w:br/>
        <w:t>综上所述，本指标满分为15分，根据评分标准得15分。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指标1：项目计划完成时间，预期指标值：2024年12月31日前 ，实际完成值2024年12月31日前，指标完成率100%；</w:t>
      </w:r>
      <w:r>
        <w:rPr>
          <w:rStyle w:val="ad"/>
          <w:rFonts w:ascii="楷体" w:eastAsia="楷体" w:hAnsi="楷体" w:hint="eastAsia"/>
          <w:b w:val="0"/>
          <w:bCs w:val="0"/>
          <w:spacing w:val="-4"/>
          <w:sz w:val="32"/>
          <w:szCs w:val="32"/>
        </w:rPr>
        <w:br/>
        <w:t>指标2：项目资金拨付及时率，预期指标值：=100% ，实际完成值100%，指标完成率100%。</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指标1：新户镇卫生院服务能力提升工程成本，预期指标值：≤59.69万元 ，实际完成值59.69万元，指标完成率100%</w:t>
      </w:r>
      <w:r>
        <w:rPr>
          <w:rStyle w:val="ad"/>
          <w:rFonts w:ascii="楷体" w:eastAsia="楷体" w:hAnsi="楷体" w:hint="eastAsia"/>
          <w:b w:val="0"/>
          <w:bCs w:val="0"/>
          <w:spacing w:val="-4"/>
          <w:sz w:val="32"/>
          <w:szCs w:val="32"/>
        </w:rPr>
        <w:br/>
        <w:t>指标2：</w:t>
      </w:r>
      <w:proofErr w:type="gramStart"/>
      <w:r>
        <w:rPr>
          <w:rStyle w:val="ad"/>
          <w:rFonts w:ascii="楷体" w:eastAsia="楷体" w:hAnsi="楷体" w:hint="eastAsia"/>
          <w:b w:val="0"/>
          <w:bCs w:val="0"/>
          <w:spacing w:val="-4"/>
          <w:sz w:val="32"/>
          <w:szCs w:val="32"/>
        </w:rPr>
        <w:t>购置县</w:t>
      </w:r>
      <w:proofErr w:type="gramEnd"/>
      <w:r>
        <w:rPr>
          <w:rStyle w:val="ad"/>
          <w:rFonts w:ascii="楷体" w:eastAsia="楷体" w:hAnsi="楷体" w:hint="eastAsia"/>
          <w:b w:val="0"/>
          <w:bCs w:val="0"/>
          <w:spacing w:val="-4"/>
          <w:sz w:val="32"/>
          <w:szCs w:val="32"/>
        </w:rPr>
        <w:t>人民医院骨科手术设备器械成本，预期指标值：≤120万元 ，实际完成值120万元，指标完成率100%</w:t>
      </w:r>
      <w:r>
        <w:rPr>
          <w:rStyle w:val="ad"/>
          <w:rFonts w:ascii="楷体" w:eastAsia="楷体" w:hAnsi="楷体" w:hint="eastAsia"/>
          <w:b w:val="0"/>
          <w:bCs w:val="0"/>
          <w:spacing w:val="-4"/>
          <w:sz w:val="32"/>
          <w:szCs w:val="32"/>
        </w:rPr>
        <w:br/>
        <w:t>指标3：建设县域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收费电子票据系统成本，预期指标值：≤20.31万元 ，实际完成值20.31万元，指标完成率100%</w:t>
      </w:r>
      <w:r>
        <w:rPr>
          <w:rStyle w:val="ad"/>
          <w:rFonts w:ascii="楷体" w:eastAsia="楷体" w:hAnsi="楷体" w:hint="eastAsia"/>
          <w:b w:val="0"/>
          <w:bCs w:val="0"/>
          <w:spacing w:val="-4"/>
          <w:sz w:val="32"/>
          <w:szCs w:val="32"/>
        </w:rPr>
        <w:br/>
        <w:t>综上所述，本指标满分为10分，根据评分标准得10分。</w:t>
      </w:r>
    </w:p>
    <w:p w14:paraId="270107C9" w14:textId="77777777" w:rsidR="00274F04"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D94843B"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我单位2024年中央医疗服务与保障能力提升（医疗卫生机构能力建设）补助项目截止到2024年12月31日，已完成支付新户镇卫生院服务能力提升工程款59.69万元；县人民医院骨科购置手术设备器械项目资金118.55万元、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收费电子票据系统建设项目资金支付20.31万元，已实施完成。对院内基础设施进行建设和改造；为县人民医院骨科购置手术设备器械；县域</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w:t>
      </w:r>
      <w:proofErr w:type="gramStart"/>
      <w:r>
        <w:rPr>
          <w:rStyle w:val="ad"/>
          <w:rFonts w:ascii="楷体" w:eastAsia="楷体" w:hAnsi="楷体" w:hint="eastAsia"/>
          <w:b w:val="0"/>
          <w:bCs w:val="0"/>
          <w:spacing w:val="-4"/>
          <w:sz w:val="32"/>
          <w:szCs w:val="32"/>
        </w:rPr>
        <w:t>体医疗</w:t>
      </w:r>
      <w:proofErr w:type="gramEnd"/>
      <w:r>
        <w:rPr>
          <w:rStyle w:val="ad"/>
          <w:rFonts w:ascii="楷体" w:eastAsia="楷体" w:hAnsi="楷体" w:hint="eastAsia"/>
          <w:b w:val="0"/>
          <w:bCs w:val="0"/>
          <w:spacing w:val="-4"/>
          <w:sz w:val="32"/>
          <w:szCs w:val="32"/>
        </w:rPr>
        <w:t>收费电子票据系统建设。通过该项目的实施，提高了医疗服务水平、提高疾病防控能力、提高了医疗保障水平以及提高群众健康意识，促进了医疗资源均衡布局、促进医疗科技创新以及社会和谐稳定。其中：</w:t>
      </w:r>
      <w:r>
        <w:rPr>
          <w:rStyle w:val="ad"/>
          <w:rFonts w:ascii="楷体" w:eastAsia="楷体" w:hAnsi="楷体" w:hint="eastAsia"/>
          <w:b w:val="0"/>
          <w:bCs w:val="0"/>
          <w:spacing w:val="-4"/>
          <w:sz w:val="32"/>
          <w:szCs w:val="32"/>
        </w:rPr>
        <w:br/>
        <w:t>1.经济效益指标完成情况分析：本项目无该指标</w:t>
      </w:r>
      <w:r>
        <w:rPr>
          <w:rStyle w:val="ad"/>
          <w:rFonts w:ascii="楷体" w:eastAsia="楷体" w:hAnsi="楷体" w:hint="eastAsia"/>
          <w:b w:val="0"/>
          <w:bCs w:val="0"/>
          <w:spacing w:val="-4"/>
          <w:sz w:val="32"/>
          <w:szCs w:val="32"/>
        </w:rPr>
        <w:br/>
        <w:t>2.社会效益指标完成情况分析</w:t>
      </w:r>
      <w:r>
        <w:rPr>
          <w:rStyle w:val="ad"/>
          <w:rFonts w:ascii="楷体" w:eastAsia="楷体" w:hAnsi="楷体" w:hint="eastAsia"/>
          <w:b w:val="0"/>
          <w:bCs w:val="0"/>
          <w:spacing w:val="-4"/>
          <w:sz w:val="32"/>
          <w:szCs w:val="32"/>
        </w:rPr>
        <w:br/>
        <w:t>指标1：医疗机构正常运行率，预期指标值：=100% ，实际完成值100%，指标完成率100%（。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3.项目实施的生态效益分析。本项目无该指标</w:t>
      </w:r>
    </w:p>
    <w:p w14:paraId="75A1BFF2"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满意度情况分析</w:t>
      </w:r>
      <w:r>
        <w:rPr>
          <w:rStyle w:val="ad"/>
          <w:rFonts w:ascii="楷体" w:eastAsia="楷体" w:hAnsi="楷体" w:hint="eastAsia"/>
          <w:b w:val="0"/>
          <w:bCs w:val="0"/>
          <w:spacing w:val="-4"/>
          <w:sz w:val="32"/>
          <w:szCs w:val="32"/>
        </w:rPr>
        <w:br/>
        <w:t>指标1：受益群众满意度，达到预期目标100%，本项目受益群众对本项目满意度较高，故该条指标得满分。</w:t>
      </w:r>
      <w:r>
        <w:rPr>
          <w:rStyle w:val="ad"/>
          <w:rFonts w:ascii="楷体" w:eastAsia="楷体" w:hAnsi="楷体" w:hint="eastAsia"/>
          <w:b w:val="0"/>
          <w:bCs w:val="0"/>
          <w:spacing w:val="-4"/>
          <w:sz w:val="32"/>
          <w:szCs w:val="32"/>
        </w:rPr>
        <w:br/>
        <w:t>综上所述，本指标满分为10分，根据评分标准得10分。</w:t>
      </w:r>
    </w:p>
    <w:p w14:paraId="594D9223" w14:textId="77777777" w:rsidR="00274F04" w:rsidRDefault="00274F04">
      <w:pPr>
        <w:spacing w:line="540" w:lineRule="exact"/>
        <w:ind w:firstLine="567"/>
        <w:rPr>
          <w:rStyle w:val="ad"/>
          <w:rFonts w:ascii="楷体" w:eastAsia="楷体" w:hAnsi="楷体" w:hint="eastAsia"/>
          <w:b w:val="0"/>
          <w:bCs w:val="0"/>
          <w:spacing w:val="-4"/>
          <w:sz w:val="32"/>
          <w:szCs w:val="32"/>
        </w:rPr>
      </w:pPr>
    </w:p>
    <w:p w14:paraId="0FEC1FDC" w14:textId="77777777" w:rsidR="00274F04" w:rsidRDefault="00274F04">
      <w:pPr>
        <w:spacing w:line="540" w:lineRule="exact"/>
        <w:ind w:firstLine="567"/>
        <w:rPr>
          <w:rStyle w:val="ad"/>
          <w:rFonts w:ascii="楷体" w:eastAsia="楷体" w:hAnsi="楷体" w:hint="eastAsia"/>
          <w:spacing w:val="-4"/>
          <w:sz w:val="32"/>
          <w:szCs w:val="32"/>
        </w:rPr>
      </w:pPr>
    </w:p>
    <w:p w14:paraId="708EF7E9" w14:textId="77777777" w:rsidR="00274F04"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37C9A04E" w14:textId="77777777" w:rsidR="00274F04"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（1）管理愈加规范。制定了专项资金管理工作制度，明确了资</w:t>
      </w:r>
      <w:r>
        <w:rPr>
          <w:rStyle w:val="ad"/>
          <w:rFonts w:ascii="楷体" w:eastAsia="楷体" w:hAnsi="楷体" w:hint="eastAsia"/>
          <w:b w:val="0"/>
          <w:bCs w:val="0"/>
          <w:spacing w:val="-4"/>
          <w:sz w:val="32"/>
          <w:szCs w:val="32"/>
        </w:rPr>
        <w:lastRenderedPageBreak/>
        <w:t>金付款流程，统一了资金申请手续，做到了层层审核、层层负责、层层把关，付款中全部要求收款单位提供正规发票，没用白条入账现象。</w:t>
      </w:r>
      <w:r>
        <w:rPr>
          <w:rStyle w:val="ad"/>
          <w:rFonts w:ascii="楷体" w:eastAsia="楷体" w:hAnsi="楷体" w:hint="eastAsia"/>
          <w:b w:val="0"/>
          <w:bCs w:val="0"/>
          <w:spacing w:val="-4"/>
          <w:sz w:val="32"/>
          <w:szCs w:val="32"/>
        </w:rPr>
        <w:br/>
        <w:t>（2）分层分类设置指标，确保覆盖全面。将指标体系划分为项目决策、项目管理、项目产出和项目效益四个层面。确保对项目进行全方位评价。</w:t>
      </w:r>
      <w:r>
        <w:rPr>
          <w:rStyle w:val="ad"/>
          <w:rFonts w:ascii="楷体" w:eastAsia="楷体" w:hAnsi="楷体" w:hint="eastAsia"/>
          <w:b w:val="0"/>
          <w:bCs w:val="0"/>
          <w:spacing w:val="-4"/>
          <w:sz w:val="32"/>
          <w:szCs w:val="32"/>
        </w:rPr>
        <w:br/>
        <w:t>（3）在实施过程中规范管理，做到事前有计划、事中有监督、事后有问效，对质量严格把关，发挥完善的机制、严格管理、人性化的方式对项目完成的积极作用。</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（1）根据项目绩效评价反映出的管理短板，有针对性的组织培训学习，共同提高项目管理水平；</w:t>
      </w:r>
      <w:r>
        <w:rPr>
          <w:rStyle w:val="ad"/>
          <w:rFonts w:ascii="楷体" w:eastAsia="楷体" w:hAnsi="楷体" w:hint="eastAsia"/>
          <w:b w:val="0"/>
          <w:bCs w:val="0"/>
          <w:spacing w:val="-4"/>
          <w:sz w:val="32"/>
          <w:szCs w:val="32"/>
        </w:rPr>
        <w:br/>
        <w:t>（2）我们将进一步加强资金管理、项目管理，用制度、用规范来有效提高项目进度，专人负责资金、专人负责项目现场管理，确保该项目在既定时间内完成所有工程量，达到预期效果。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t>2.改进措施：</w:t>
      </w:r>
      <w:r>
        <w:rPr>
          <w:rStyle w:val="ad"/>
          <w:rFonts w:ascii="楷体" w:eastAsia="楷体" w:hAnsi="楷体" w:hint="eastAsia"/>
          <w:b w:val="0"/>
          <w:bCs w:val="0"/>
          <w:spacing w:val="-4"/>
          <w:sz w:val="32"/>
          <w:szCs w:val="32"/>
        </w:rPr>
        <w:br/>
        <w:t>科学编制预算，提高预算与目标匹配度</w:t>
      </w:r>
      <w:r>
        <w:rPr>
          <w:rStyle w:val="ad"/>
          <w:rFonts w:ascii="楷体" w:eastAsia="楷体" w:hAnsi="楷体" w:hint="eastAsia"/>
          <w:b w:val="0"/>
          <w:bCs w:val="0"/>
          <w:spacing w:val="-4"/>
          <w:sz w:val="32"/>
          <w:szCs w:val="32"/>
        </w:rPr>
        <w:br/>
        <w:t xml:space="preserve">  科学的预算编制应该保证预算和目标在质和量上相匹配，即一方面预算应该根据目标来编制，保证每一个目标的实现均有相应</w:t>
      </w:r>
      <w:r>
        <w:rPr>
          <w:rStyle w:val="ad"/>
          <w:rFonts w:ascii="楷体" w:eastAsia="楷体" w:hAnsi="楷体" w:hint="eastAsia"/>
          <w:b w:val="0"/>
          <w:bCs w:val="0"/>
          <w:spacing w:val="-4"/>
          <w:sz w:val="32"/>
          <w:szCs w:val="32"/>
        </w:rPr>
        <w:lastRenderedPageBreak/>
        <w:t xml:space="preserve">的预算安排，另一方面应在合理测算工作量的基础上保证预算编制的准确性。  </w:t>
      </w:r>
      <w:r>
        <w:rPr>
          <w:rStyle w:val="ad"/>
          <w:rFonts w:ascii="楷体" w:eastAsia="楷体" w:hAnsi="楷体" w:hint="eastAsia"/>
          <w:b w:val="0"/>
          <w:bCs w:val="0"/>
          <w:spacing w:val="-4"/>
          <w:sz w:val="32"/>
          <w:szCs w:val="32"/>
        </w:rPr>
        <w:br/>
        <w:t xml:space="preserve">  对此，预算单位会同财政部门共同梳理项目绩效目标，合理测算项目工作量，科学编制预算。</w:t>
      </w:r>
    </w:p>
    <w:p w14:paraId="4D179126" w14:textId="77777777" w:rsidR="00274F0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C283D38" w14:textId="77777777" w:rsidR="00274F0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4EC13BB9" w14:textId="77777777" w:rsidR="00274F0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661D12C1" w14:textId="77777777" w:rsidR="00274F0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本次预算绩效评价所采集的数据因为采集时间、数据来源等诸多因素的影响，可能会出现一定的偏差，进而对评价结果存在影响；</w:t>
      </w:r>
    </w:p>
    <w:p w14:paraId="04655B32" w14:textId="77777777" w:rsidR="00274F04" w:rsidRDefault="00274F04">
      <w:pPr>
        <w:spacing w:line="540" w:lineRule="exact"/>
        <w:ind w:firstLine="567"/>
        <w:rPr>
          <w:rStyle w:val="ad"/>
          <w:rFonts w:ascii="仿宋" w:eastAsia="仿宋" w:hAnsi="仿宋" w:hint="eastAsia"/>
          <w:b w:val="0"/>
          <w:spacing w:val="-4"/>
          <w:sz w:val="32"/>
          <w:szCs w:val="32"/>
        </w:rPr>
      </w:pPr>
    </w:p>
    <w:p w14:paraId="3F6841EA" w14:textId="77777777" w:rsidR="00274F04" w:rsidRDefault="00274F04">
      <w:pPr>
        <w:spacing w:line="540" w:lineRule="exact"/>
        <w:ind w:firstLine="567"/>
        <w:rPr>
          <w:rStyle w:val="ad"/>
          <w:rFonts w:ascii="仿宋" w:eastAsia="仿宋" w:hAnsi="仿宋" w:hint="eastAsia"/>
          <w:b w:val="0"/>
          <w:spacing w:val="-4"/>
          <w:sz w:val="32"/>
          <w:szCs w:val="32"/>
        </w:rPr>
      </w:pPr>
    </w:p>
    <w:p w14:paraId="1DB5830E" w14:textId="77777777" w:rsidR="00274F04" w:rsidRDefault="00274F04">
      <w:pPr>
        <w:spacing w:line="540" w:lineRule="exact"/>
        <w:ind w:firstLine="567"/>
        <w:rPr>
          <w:rStyle w:val="ad"/>
          <w:rFonts w:ascii="仿宋" w:eastAsia="仿宋" w:hAnsi="仿宋" w:hint="eastAsia"/>
          <w:b w:val="0"/>
          <w:spacing w:val="-4"/>
          <w:sz w:val="32"/>
          <w:szCs w:val="32"/>
        </w:rPr>
      </w:pPr>
    </w:p>
    <w:p w14:paraId="577169C8" w14:textId="77777777" w:rsidR="00274F04" w:rsidRDefault="00274F04">
      <w:pPr>
        <w:spacing w:line="540" w:lineRule="exact"/>
        <w:ind w:firstLine="567"/>
        <w:rPr>
          <w:rStyle w:val="ad"/>
          <w:rFonts w:ascii="仿宋" w:eastAsia="仿宋" w:hAnsi="仿宋" w:hint="eastAsia"/>
          <w:b w:val="0"/>
          <w:spacing w:val="-4"/>
          <w:sz w:val="32"/>
          <w:szCs w:val="32"/>
        </w:rPr>
      </w:pPr>
    </w:p>
    <w:p w14:paraId="34F3F240" w14:textId="77777777" w:rsidR="00274F04" w:rsidRDefault="00274F04">
      <w:pPr>
        <w:spacing w:line="540" w:lineRule="exact"/>
        <w:ind w:firstLine="567"/>
        <w:rPr>
          <w:rStyle w:val="ad"/>
          <w:rFonts w:ascii="仿宋" w:eastAsia="仿宋" w:hAnsi="仿宋" w:hint="eastAsia"/>
          <w:b w:val="0"/>
          <w:spacing w:val="-4"/>
          <w:sz w:val="32"/>
          <w:szCs w:val="32"/>
        </w:rPr>
      </w:pPr>
    </w:p>
    <w:sectPr w:rsidR="00274F0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2FB46" w14:textId="77777777" w:rsidR="0052288E" w:rsidRDefault="0052288E">
      <w:r>
        <w:separator/>
      </w:r>
    </w:p>
  </w:endnote>
  <w:endnote w:type="continuationSeparator" w:id="0">
    <w:p w14:paraId="10E36295" w14:textId="77777777" w:rsidR="0052288E" w:rsidRDefault="005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2FA505C" w14:textId="77777777" w:rsidR="00274F04" w:rsidRDefault="00000000">
        <w:pPr>
          <w:pStyle w:val="a5"/>
          <w:jc w:val="center"/>
        </w:pPr>
        <w:r>
          <w:fldChar w:fldCharType="begin"/>
        </w:r>
        <w:r>
          <w:instrText>PAGE   \* MERGEFORMAT</w:instrText>
        </w:r>
        <w:r>
          <w:fldChar w:fldCharType="separate"/>
        </w:r>
        <w:r>
          <w:rPr>
            <w:lang w:val="zh-CN"/>
          </w:rPr>
          <w:t>2</w:t>
        </w:r>
        <w:r>
          <w:fldChar w:fldCharType="end"/>
        </w:r>
      </w:p>
    </w:sdtContent>
  </w:sdt>
  <w:p w14:paraId="17E9C3F9" w14:textId="77777777" w:rsidR="00274F04" w:rsidRDefault="00274F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BE1E9" w14:textId="77777777" w:rsidR="0052288E" w:rsidRDefault="0052288E">
      <w:r>
        <w:separator/>
      </w:r>
    </w:p>
  </w:footnote>
  <w:footnote w:type="continuationSeparator" w:id="0">
    <w:p w14:paraId="32A1D5FF" w14:textId="77777777" w:rsidR="0052288E" w:rsidRDefault="00522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29380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74F04"/>
    <w:rsid w:val="00291BC0"/>
    <w:rsid w:val="00311DBE"/>
    <w:rsid w:val="00387A76"/>
    <w:rsid w:val="004366A8"/>
    <w:rsid w:val="00502BA7"/>
    <w:rsid w:val="005162F1"/>
    <w:rsid w:val="0052288E"/>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91BB2"/>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2E5C3C"/>
  <w15:docId w15:val="{7D931DFD-CD6D-4755-A06F-4093EFC6E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5609</Words>
  <Characters>5946</Characters>
  <Application>Microsoft Office Word</Application>
  <DocSecurity>0</DocSecurity>
  <Lines>283</Lines>
  <Paragraphs>38</Paragraphs>
  <ScaleCrop>false</ScaleCrop>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